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A1" w:rsidRPr="00C441A1" w:rsidRDefault="00C441A1" w:rsidP="00C441A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441A1">
        <w:rPr>
          <w:rFonts w:ascii="Arial" w:hAnsi="Arial" w:cs="Arial"/>
          <w:bCs/>
          <w:sz w:val="22"/>
          <w:szCs w:val="22"/>
        </w:rPr>
        <w:t xml:space="preserve">In 2002, commercial production of industrial hemp was made possible by amendments to insert Part 5B into the </w:t>
      </w:r>
      <w:r w:rsidRPr="00C441A1">
        <w:rPr>
          <w:rFonts w:ascii="Arial" w:hAnsi="Arial" w:cs="Arial"/>
          <w:bCs/>
          <w:i/>
          <w:sz w:val="22"/>
          <w:szCs w:val="22"/>
        </w:rPr>
        <w:t>Drugs Misuse Act 1986</w:t>
      </w:r>
      <w:r w:rsidRPr="00C441A1">
        <w:rPr>
          <w:rFonts w:ascii="Arial" w:hAnsi="Arial" w:cs="Arial"/>
          <w:bCs/>
          <w:sz w:val="22"/>
          <w:szCs w:val="22"/>
        </w:rPr>
        <w:t xml:space="preserve"> </w:t>
      </w:r>
      <w:r w:rsidRPr="00C441A1">
        <w:rPr>
          <w:rFonts w:ascii="Arial" w:hAnsi="Arial" w:cs="Arial"/>
          <w:sz w:val="22"/>
          <w:szCs w:val="22"/>
        </w:rPr>
        <w:t xml:space="preserve">(the </w:t>
      </w:r>
      <w:r w:rsidRPr="00C441A1">
        <w:rPr>
          <w:rFonts w:ascii="Arial" w:hAnsi="Arial" w:cs="Arial"/>
          <w:bCs/>
          <w:sz w:val="22"/>
          <w:szCs w:val="22"/>
        </w:rPr>
        <w:t>Act).</w:t>
      </w:r>
      <w:r w:rsidR="00B60D94">
        <w:rPr>
          <w:rFonts w:ascii="Arial" w:hAnsi="Arial" w:cs="Arial"/>
          <w:bCs/>
          <w:sz w:val="22"/>
          <w:szCs w:val="22"/>
        </w:rPr>
        <w:t xml:space="preserve"> </w:t>
      </w:r>
      <w:r w:rsidRPr="00C441A1">
        <w:rPr>
          <w:rFonts w:ascii="Arial" w:hAnsi="Arial" w:cs="Arial"/>
          <w:bCs/>
          <w:sz w:val="22"/>
          <w:szCs w:val="22"/>
        </w:rPr>
        <w:t xml:space="preserve"> Industry participants must apply for a licence to research and/or grow industrial hemp. </w:t>
      </w:r>
    </w:p>
    <w:p w:rsidR="00A93653" w:rsidRDefault="00C441A1" w:rsidP="00C441A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41A1">
        <w:rPr>
          <w:rFonts w:ascii="Arial" w:hAnsi="Arial" w:cs="Arial"/>
          <w:bCs/>
          <w:sz w:val="22"/>
          <w:szCs w:val="22"/>
        </w:rPr>
        <w:t xml:space="preserve">As part of the licensing process, the Queensland Police Service performs a criminal history check to assist in establishing the bona fides of licence applicants. </w:t>
      </w:r>
    </w:p>
    <w:p w:rsidR="00C441A1" w:rsidRPr="00CE21C5" w:rsidRDefault="00C441A1" w:rsidP="00C441A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41A1">
        <w:rPr>
          <w:rFonts w:ascii="Arial" w:hAnsi="Arial" w:cs="Arial"/>
          <w:bCs/>
          <w:sz w:val="22"/>
          <w:szCs w:val="22"/>
        </w:rPr>
        <w:t xml:space="preserve">Section 61(5) requires that the applicant or licencee, and their close associates, must consent to the person’s fingerprints being taken by a police officer. </w:t>
      </w:r>
      <w:r w:rsidR="001F7188" w:rsidRPr="00CE21C5">
        <w:rPr>
          <w:rFonts w:ascii="Arial" w:hAnsi="Arial" w:cs="Arial"/>
          <w:iCs/>
          <w:sz w:val="22"/>
        </w:rPr>
        <w:t>It should be noted that the Act contains safeguards to an applicant or licencee's civil liberties which require that fingerprints so obtained must be destroyed as soon as possible after a person's suitability has been considered.</w:t>
      </w:r>
    </w:p>
    <w:p w:rsidR="000E5579" w:rsidRDefault="000E5579" w:rsidP="000E5579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0E5579">
        <w:rPr>
          <w:rFonts w:ascii="Arial" w:hAnsi="Arial" w:cs="Arial"/>
          <w:sz w:val="22"/>
        </w:rPr>
        <w:t xml:space="preserve">ection 61(5) </w:t>
      </w:r>
      <w:r>
        <w:rPr>
          <w:rFonts w:ascii="Arial" w:hAnsi="Arial" w:cs="Arial"/>
          <w:sz w:val="22"/>
        </w:rPr>
        <w:t>is important</w:t>
      </w:r>
      <w:r w:rsidRPr="000E5579">
        <w:rPr>
          <w:rFonts w:ascii="Arial" w:hAnsi="Arial" w:cs="Arial"/>
          <w:sz w:val="22"/>
        </w:rPr>
        <w:t xml:space="preserve"> in supporting the Queensland Government’s anti-drugs stance and deterring criminal elements from surreptitiously operating in the industrial hemp industry. </w:t>
      </w:r>
    </w:p>
    <w:p w:rsidR="00C441A1" w:rsidRPr="00C441A1" w:rsidRDefault="00C441A1" w:rsidP="00C441A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41A1">
        <w:rPr>
          <w:rFonts w:ascii="Arial" w:hAnsi="Arial" w:cs="Arial"/>
          <w:sz w:val="22"/>
          <w:szCs w:val="22"/>
        </w:rPr>
        <w:t xml:space="preserve">In the initial stages of the licensing scheme, applicants were requested, as a matter of course, to obtain fingerprints from a </w:t>
      </w:r>
      <w:r w:rsidR="00B60D94" w:rsidRPr="00C441A1">
        <w:rPr>
          <w:rFonts w:ascii="Arial" w:hAnsi="Arial" w:cs="Arial"/>
          <w:bCs/>
          <w:sz w:val="22"/>
          <w:szCs w:val="22"/>
        </w:rPr>
        <w:t>Queensland Police Service</w:t>
      </w:r>
      <w:r w:rsidR="00B60D94" w:rsidRPr="00C441A1">
        <w:rPr>
          <w:rFonts w:ascii="Arial" w:hAnsi="Arial" w:cs="Arial"/>
          <w:sz w:val="22"/>
          <w:szCs w:val="22"/>
        </w:rPr>
        <w:t xml:space="preserve"> </w:t>
      </w:r>
      <w:r w:rsidRPr="00C441A1">
        <w:rPr>
          <w:rFonts w:ascii="Arial" w:hAnsi="Arial" w:cs="Arial"/>
          <w:sz w:val="22"/>
          <w:szCs w:val="22"/>
        </w:rPr>
        <w:t xml:space="preserve">officer to accompany their applications.  </w:t>
      </w:r>
      <w:r w:rsidR="00A93653">
        <w:rPr>
          <w:rFonts w:ascii="Arial" w:hAnsi="Arial" w:cs="Arial"/>
          <w:sz w:val="22"/>
          <w:szCs w:val="22"/>
        </w:rPr>
        <w:t>A</w:t>
      </w:r>
      <w:r w:rsidRPr="00C441A1">
        <w:rPr>
          <w:rFonts w:ascii="Arial" w:hAnsi="Arial" w:cs="Arial"/>
          <w:sz w:val="22"/>
          <w:szCs w:val="22"/>
        </w:rPr>
        <w:t xml:space="preserve"> review of the fingerprinting process undertaken by </w:t>
      </w:r>
      <w:r w:rsidR="00AF440B" w:rsidRPr="00C441A1">
        <w:rPr>
          <w:rFonts w:ascii="Arial" w:hAnsi="Arial" w:cs="Arial"/>
          <w:sz w:val="22"/>
          <w:szCs w:val="22"/>
        </w:rPr>
        <w:t xml:space="preserve">the Department of Primary Industries and Fisheries </w:t>
      </w:r>
      <w:r w:rsidR="00AF440B">
        <w:rPr>
          <w:rFonts w:ascii="Arial" w:hAnsi="Arial" w:cs="Arial"/>
          <w:sz w:val="22"/>
          <w:szCs w:val="22"/>
        </w:rPr>
        <w:t>(</w:t>
      </w:r>
      <w:r w:rsidRPr="00C441A1">
        <w:rPr>
          <w:rFonts w:ascii="Arial" w:hAnsi="Arial" w:cs="Arial"/>
          <w:sz w:val="22"/>
          <w:szCs w:val="22"/>
        </w:rPr>
        <w:t>DPI&amp;F</w:t>
      </w:r>
      <w:r w:rsidR="00AF440B">
        <w:rPr>
          <w:rFonts w:ascii="Arial" w:hAnsi="Arial" w:cs="Arial"/>
          <w:sz w:val="22"/>
          <w:szCs w:val="22"/>
        </w:rPr>
        <w:t>)</w:t>
      </w:r>
      <w:r w:rsidRPr="00C441A1">
        <w:rPr>
          <w:rFonts w:ascii="Arial" w:hAnsi="Arial" w:cs="Arial"/>
          <w:sz w:val="22"/>
          <w:szCs w:val="22"/>
        </w:rPr>
        <w:t xml:space="preserve"> in consultation with </w:t>
      </w:r>
      <w:r w:rsidR="00B60D94" w:rsidRPr="00C441A1">
        <w:rPr>
          <w:rFonts w:ascii="Arial" w:hAnsi="Arial" w:cs="Arial"/>
          <w:bCs/>
          <w:sz w:val="22"/>
          <w:szCs w:val="22"/>
        </w:rPr>
        <w:t>Queensland Police Service</w:t>
      </w:r>
      <w:r w:rsidR="00B60D94" w:rsidRPr="00C441A1">
        <w:rPr>
          <w:rFonts w:ascii="Arial" w:hAnsi="Arial" w:cs="Arial"/>
          <w:sz w:val="22"/>
          <w:szCs w:val="22"/>
        </w:rPr>
        <w:t xml:space="preserve"> </w:t>
      </w:r>
      <w:r w:rsidRPr="00C441A1">
        <w:rPr>
          <w:rFonts w:ascii="Arial" w:hAnsi="Arial" w:cs="Arial"/>
          <w:sz w:val="22"/>
          <w:szCs w:val="22"/>
        </w:rPr>
        <w:t xml:space="preserve">in 2003 resulted in both agencies agreeing with an interpretation of </w:t>
      </w:r>
      <w:r w:rsidR="00A93653">
        <w:rPr>
          <w:rFonts w:ascii="Arial" w:hAnsi="Arial" w:cs="Arial"/>
          <w:sz w:val="22"/>
          <w:szCs w:val="22"/>
        </w:rPr>
        <w:t xml:space="preserve">section </w:t>
      </w:r>
      <w:r w:rsidRPr="00C441A1">
        <w:rPr>
          <w:rFonts w:ascii="Arial" w:hAnsi="Arial" w:cs="Arial"/>
          <w:sz w:val="22"/>
          <w:szCs w:val="22"/>
        </w:rPr>
        <w:t xml:space="preserve">61(5) of the Act that required that applicants consent to fingerprinting if required, and only submit to actual fingerprinting by a police officer if requested to do so by the Commissioner for Police. </w:t>
      </w:r>
    </w:p>
    <w:p w:rsidR="00C441A1" w:rsidRPr="00C441A1" w:rsidRDefault="00C441A1" w:rsidP="00C441A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441A1">
        <w:rPr>
          <w:rFonts w:ascii="Arial" w:hAnsi="Arial" w:cs="Arial"/>
          <w:sz w:val="22"/>
          <w:szCs w:val="22"/>
        </w:rPr>
        <w:t>Section 115 of the Act r</w:t>
      </w:r>
      <w:r w:rsidR="00A93653">
        <w:rPr>
          <w:rFonts w:ascii="Arial" w:hAnsi="Arial" w:cs="Arial"/>
          <w:sz w:val="22"/>
          <w:szCs w:val="22"/>
        </w:rPr>
        <w:t>equired</w:t>
      </w:r>
      <w:r w:rsidRPr="00C441A1">
        <w:rPr>
          <w:rFonts w:ascii="Arial" w:hAnsi="Arial" w:cs="Arial"/>
          <w:sz w:val="22"/>
          <w:szCs w:val="22"/>
        </w:rPr>
        <w:t xml:space="preserve"> DPI&amp;F, as the licensing authority, to review the operation of section 61(5).  </w:t>
      </w:r>
    </w:p>
    <w:p w:rsidR="00C441A1" w:rsidRPr="009D0E8C" w:rsidRDefault="00C441A1" w:rsidP="009D0E8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41A1">
        <w:rPr>
          <w:rFonts w:ascii="Arial" w:hAnsi="Arial" w:cs="Arial"/>
          <w:bCs/>
          <w:sz w:val="22"/>
          <w:szCs w:val="22"/>
        </w:rPr>
        <w:t>A review</w:t>
      </w:r>
      <w:r w:rsidR="00A93653">
        <w:rPr>
          <w:rFonts w:ascii="Arial" w:hAnsi="Arial" w:cs="Arial"/>
          <w:bCs/>
          <w:sz w:val="22"/>
          <w:szCs w:val="22"/>
        </w:rPr>
        <w:t xml:space="preserve"> </w:t>
      </w:r>
      <w:r w:rsidRPr="00C441A1">
        <w:rPr>
          <w:rFonts w:ascii="Arial" w:hAnsi="Arial" w:cs="Arial"/>
          <w:bCs/>
          <w:sz w:val="22"/>
          <w:szCs w:val="22"/>
        </w:rPr>
        <w:t>of section 61(5) was undertaken by DPI&amp;F in late 2007 to ascertain the value of</w:t>
      </w:r>
      <w:r w:rsidRPr="00C441A1">
        <w:rPr>
          <w:rFonts w:ascii="Arial" w:hAnsi="Arial" w:cs="Arial"/>
          <w:sz w:val="22"/>
          <w:szCs w:val="22"/>
        </w:rPr>
        <w:t xml:space="preserve"> maintaining or removing the requirement for licence applicants to consent to undergo fingerprinting. </w:t>
      </w:r>
      <w:r w:rsidR="009D0E8C">
        <w:rPr>
          <w:rFonts w:ascii="Arial" w:hAnsi="Arial" w:cs="Arial"/>
          <w:sz w:val="22"/>
          <w:szCs w:val="22"/>
        </w:rPr>
        <w:t xml:space="preserve"> </w:t>
      </w:r>
      <w:r w:rsidR="00A93653" w:rsidRPr="009D0E8C">
        <w:rPr>
          <w:rFonts w:ascii="Arial" w:hAnsi="Arial" w:cs="Arial"/>
          <w:bCs/>
          <w:spacing w:val="-3"/>
          <w:sz w:val="22"/>
          <w:szCs w:val="22"/>
        </w:rPr>
        <w:t>The review recommends that s</w:t>
      </w:r>
      <w:r w:rsidRPr="009D0E8C">
        <w:rPr>
          <w:rFonts w:ascii="Arial" w:hAnsi="Arial" w:cs="Arial"/>
          <w:bCs/>
          <w:spacing w:val="-3"/>
          <w:sz w:val="22"/>
          <w:szCs w:val="22"/>
        </w:rPr>
        <w:t>ection 61(5) be retained as drafted</w:t>
      </w:r>
      <w:r w:rsidR="00471702" w:rsidRPr="009D0E8C">
        <w:rPr>
          <w:rFonts w:ascii="Arial" w:hAnsi="Arial" w:cs="Arial"/>
          <w:bCs/>
          <w:spacing w:val="-3"/>
          <w:sz w:val="22"/>
          <w:szCs w:val="22"/>
        </w:rPr>
        <w:t>.</w:t>
      </w:r>
      <w:r w:rsidRPr="009D0E8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A93653">
        <w:rPr>
          <w:rFonts w:ascii="Arial" w:hAnsi="Arial" w:cs="Arial"/>
          <w:sz w:val="22"/>
          <w:szCs w:val="22"/>
        </w:rPr>
        <w:t>t</w:t>
      </w:r>
      <w:r w:rsidR="00A93653" w:rsidRPr="00A93653">
        <w:rPr>
          <w:rFonts w:ascii="Arial" w:hAnsi="Arial" w:cs="Arial"/>
          <w:sz w:val="22"/>
          <w:szCs w:val="22"/>
        </w:rPr>
        <w:t xml:space="preserve">he outcomes of the review report, “Review of Section 61(5) of the </w:t>
      </w:r>
      <w:r w:rsidR="00A93653" w:rsidRPr="00A93653">
        <w:rPr>
          <w:rFonts w:ascii="Arial" w:hAnsi="Arial" w:cs="Arial"/>
          <w:i/>
          <w:sz w:val="22"/>
          <w:szCs w:val="22"/>
        </w:rPr>
        <w:t>Drugs Misuse Act 1986</w:t>
      </w:r>
      <w:r w:rsidR="00A93653" w:rsidRPr="00A93653">
        <w:rPr>
          <w:rFonts w:ascii="Arial" w:hAnsi="Arial" w:cs="Arial"/>
          <w:sz w:val="22"/>
          <w:szCs w:val="22"/>
        </w:rPr>
        <w:t>: Requirement for persons to consent to fingerprinting as part of the criminal history check for licence applications to research and/or grow industrial hemp”</w:t>
      </w:r>
      <w:r>
        <w:rPr>
          <w:rFonts w:ascii="Arial" w:hAnsi="Arial" w:cs="Arial"/>
          <w:sz w:val="22"/>
          <w:szCs w:val="22"/>
        </w:rPr>
        <w:t>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D7006B" w:rsidRPr="00C07656" w:rsidRDefault="00D7006B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D0869" w:rsidRDefault="00896EA5" w:rsidP="00D7006B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93653" w:rsidRPr="0039387B">
          <w:rPr>
            <w:rStyle w:val="Hyperlink"/>
            <w:rFonts w:ascii="Arial" w:hAnsi="Arial" w:cs="Arial"/>
            <w:sz w:val="22"/>
            <w:szCs w:val="22"/>
          </w:rPr>
          <w:t xml:space="preserve">Report - Review of Section 61(5) of the </w:t>
        </w:r>
        <w:r w:rsidR="00A93653" w:rsidRPr="0039387B">
          <w:rPr>
            <w:rStyle w:val="Hyperlink"/>
            <w:rFonts w:ascii="Arial" w:hAnsi="Arial" w:cs="Arial"/>
            <w:i/>
            <w:sz w:val="22"/>
            <w:szCs w:val="22"/>
          </w:rPr>
          <w:t>Drugs Misuse Act 1986</w:t>
        </w:r>
        <w:r w:rsidR="00A93653" w:rsidRPr="0039387B">
          <w:rPr>
            <w:rStyle w:val="Hyperlink"/>
            <w:rFonts w:ascii="Arial" w:hAnsi="Arial" w:cs="Arial"/>
            <w:sz w:val="22"/>
            <w:szCs w:val="22"/>
          </w:rPr>
          <w:t>: Requirement for persons to consent to fingerprinting as part of the criminal history check for licence applications to research and/or grow industrial hemp</w:t>
        </w:r>
      </w:hyperlink>
    </w:p>
    <w:p w:rsidR="004215DC" w:rsidRPr="00C07656" w:rsidRDefault="004215DC" w:rsidP="004215D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8"/>
      <w:footerReference w:type="default" r:id="rId9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15" w:rsidRDefault="00BA3F15">
      <w:r>
        <w:separator/>
      </w:r>
    </w:p>
  </w:endnote>
  <w:endnote w:type="continuationSeparator" w:id="0">
    <w:p w:rsidR="00BA3F15" w:rsidRDefault="00BA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07" w:rsidRPr="001141E1" w:rsidRDefault="00B05B07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15" w:rsidRDefault="00BA3F15">
      <w:r>
        <w:separator/>
      </w:r>
    </w:p>
  </w:footnote>
  <w:footnote w:type="continuationSeparator" w:id="0">
    <w:p w:rsidR="00BA3F15" w:rsidRDefault="00BA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07" w:rsidRPr="000400F9" w:rsidRDefault="006027C8" w:rsidP="00A3135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0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05B07">
      <w:rPr>
        <w:rFonts w:ascii="Arial" w:hAnsi="Arial" w:cs="Arial"/>
        <w:b/>
        <w:sz w:val="22"/>
        <w:szCs w:val="22"/>
        <w:u w:val="single"/>
      </w:rPr>
      <w:t>July 2008</w:t>
    </w:r>
  </w:p>
  <w:p w:rsidR="00B05B07" w:rsidRDefault="00B05B0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E7998">
      <w:rPr>
        <w:rFonts w:ascii="Arial" w:hAnsi="Arial" w:cs="Arial"/>
        <w:b/>
        <w:sz w:val="22"/>
        <w:szCs w:val="22"/>
        <w:u w:val="single"/>
      </w:rPr>
      <w:t xml:space="preserve">Review of Section 61(5) of the </w:t>
    </w:r>
    <w:r w:rsidRPr="00BE7998">
      <w:rPr>
        <w:rFonts w:ascii="Arial" w:hAnsi="Arial" w:cs="Arial"/>
        <w:b/>
        <w:i/>
        <w:sz w:val="22"/>
        <w:szCs w:val="22"/>
        <w:u w:val="single"/>
      </w:rPr>
      <w:t>Drugs Misuse Act 1986</w:t>
    </w:r>
  </w:p>
  <w:p w:rsidR="00B05B07" w:rsidRDefault="00B05B0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Pr="00BE7998">
      <w:rPr>
        <w:rFonts w:ascii="Arial" w:hAnsi="Arial" w:cs="Arial"/>
        <w:b/>
        <w:sz w:val="22"/>
        <w:szCs w:val="22"/>
        <w:u w:val="single"/>
      </w:rPr>
      <w:t>Primary Industries and Fisheries</w:t>
    </w:r>
  </w:p>
  <w:p w:rsidR="00B05B07" w:rsidRPr="000400F9" w:rsidRDefault="00B05B07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369"/>
    <w:multiLevelType w:val="hybridMultilevel"/>
    <w:tmpl w:val="063803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68C4"/>
    <w:multiLevelType w:val="hybridMultilevel"/>
    <w:tmpl w:val="E8E2DC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A66"/>
    <w:multiLevelType w:val="hybridMultilevel"/>
    <w:tmpl w:val="1D34DABC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25167"/>
    <w:multiLevelType w:val="multilevel"/>
    <w:tmpl w:val="C8FCEA9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71DEF"/>
    <w:multiLevelType w:val="multilevel"/>
    <w:tmpl w:val="44B6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1019E"/>
    <w:multiLevelType w:val="hybridMultilevel"/>
    <w:tmpl w:val="CC160D2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23217"/>
    <w:multiLevelType w:val="hybridMultilevel"/>
    <w:tmpl w:val="A0A8E4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24A20"/>
    <w:multiLevelType w:val="hybridMultilevel"/>
    <w:tmpl w:val="C4B0266E"/>
    <w:lvl w:ilvl="0" w:tplc="975AFCF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D798B"/>
    <w:multiLevelType w:val="hybridMultilevel"/>
    <w:tmpl w:val="F3CEE0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4379D"/>
    <w:multiLevelType w:val="hybridMultilevel"/>
    <w:tmpl w:val="8BF6C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844C6"/>
    <w:multiLevelType w:val="hybridMultilevel"/>
    <w:tmpl w:val="9E548812"/>
    <w:lvl w:ilvl="0" w:tplc="44086B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92DAC"/>
    <w:multiLevelType w:val="hybridMultilevel"/>
    <w:tmpl w:val="A6F20B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75CE8"/>
    <w:multiLevelType w:val="hybridMultilevel"/>
    <w:tmpl w:val="26BE8B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C0B9B"/>
    <w:multiLevelType w:val="hybridMultilevel"/>
    <w:tmpl w:val="1F823B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40454"/>
    <w:multiLevelType w:val="hybridMultilevel"/>
    <w:tmpl w:val="34CC05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B4B9B"/>
    <w:multiLevelType w:val="hybridMultilevel"/>
    <w:tmpl w:val="8D069D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12"/>
  </w:num>
  <w:num w:numId="5">
    <w:abstractNumId w:val="9"/>
  </w:num>
  <w:num w:numId="6">
    <w:abstractNumId w:val="25"/>
  </w:num>
  <w:num w:numId="7">
    <w:abstractNumId w:val="24"/>
  </w:num>
  <w:num w:numId="8">
    <w:abstractNumId w:val="22"/>
  </w:num>
  <w:num w:numId="9">
    <w:abstractNumId w:val="21"/>
  </w:num>
  <w:num w:numId="10">
    <w:abstractNumId w:val="16"/>
  </w:num>
  <w:num w:numId="11">
    <w:abstractNumId w:val="13"/>
  </w:num>
  <w:num w:numId="12">
    <w:abstractNumId w:val="3"/>
  </w:num>
  <w:num w:numId="13">
    <w:abstractNumId w:val="2"/>
  </w:num>
  <w:num w:numId="14">
    <w:abstractNumId w:val="14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7"/>
  </w:num>
  <w:num w:numId="20">
    <w:abstractNumId w:val="20"/>
  </w:num>
  <w:num w:numId="21">
    <w:abstractNumId w:val="19"/>
  </w:num>
  <w:num w:numId="22">
    <w:abstractNumId w:val="11"/>
  </w:num>
  <w:num w:numId="23">
    <w:abstractNumId w:val="6"/>
  </w:num>
  <w:num w:numId="24">
    <w:abstractNumId w:val="15"/>
  </w:num>
  <w:num w:numId="25">
    <w:abstractNumId w:val="26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8"/>
    <w:rsid w:val="00021B34"/>
    <w:rsid w:val="000400F9"/>
    <w:rsid w:val="00081BCC"/>
    <w:rsid w:val="000B545C"/>
    <w:rsid w:val="000E5579"/>
    <w:rsid w:val="001141E1"/>
    <w:rsid w:val="00133013"/>
    <w:rsid w:val="00133A34"/>
    <w:rsid w:val="00155E58"/>
    <w:rsid w:val="00160524"/>
    <w:rsid w:val="001A1358"/>
    <w:rsid w:val="001F7188"/>
    <w:rsid w:val="00242ED7"/>
    <w:rsid w:val="00246392"/>
    <w:rsid w:val="00254E35"/>
    <w:rsid w:val="0028053C"/>
    <w:rsid w:val="00282ADF"/>
    <w:rsid w:val="0029501D"/>
    <w:rsid w:val="002F57E4"/>
    <w:rsid w:val="00306D6C"/>
    <w:rsid w:val="0032048B"/>
    <w:rsid w:val="00325FF0"/>
    <w:rsid w:val="00346156"/>
    <w:rsid w:val="00382380"/>
    <w:rsid w:val="0039387B"/>
    <w:rsid w:val="003A269C"/>
    <w:rsid w:val="003C3732"/>
    <w:rsid w:val="004215DC"/>
    <w:rsid w:val="00435BE5"/>
    <w:rsid w:val="00471702"/>
    <w:rsid w:val="0048019C"/>
    <w:rsid w:val="00486A99"/>
    <w:rsid w:val="004D16F0"/>
    <w:rsid w:val="004E6C38"/>
    <w:rsid w:val="00543EEC"/>
    <w:rsid w:val="0056401D"/>
    <w:rsid w:val="005B1D9B"/>
    <w:rsid w:val="005B518B"/>
    <w:rsid w:val="005C329A"/>
    <w:rsid w:val="006027C8"/>
    <w:rsid w:val="006100CC"/>
    <w:rsid w:val="00644076"/>
    <w:rsid w:val="006554A8"/>
    <w:rsid w:val="006631CF"/>
    <w:rsid w:val="006B007D"/>
    <w:rsid w:val="006B3B54"/>
    <w:rsid w:val="006C08C9"/>
    <w:rsid w:val="006D0869"/>
    <w:rsid w:val="006E6713"/>
    <w:rsid w:val="007060D7"/>
    <w:rsid w:val="00710978"/>
    <w:rsid w:val="00726F36"/>
    <w:rsid w:val="00775BF1"/>
    <w:rsid w:val="007976D9"/>
    <w:rsid w:val="007A25F4"/>
    <w:rsid w:val="007A6599"/>
    <w:rsid w:val="007E1309"/>
    <w:rsid w:val="007F52D6"/>
    <w:rsid w:val="00817D21"/>
    <w:rsid w:val="0082040E"/>
    <w:rsid w:val="00845D3E"/>
    <w:rsid w:val="00865DA5"/>
    <w:rsid w:val="00896EA5"/>
    <w:rsid w:val="008A5F1B"/>
    <w:rsid w:val="008B7E17"/>
    <w:rsid w:val="008F44CD"/>
    <w:rsid w:val="00922A5B"/>
    <w:rsid w:val="00944CC4"/>
    <w:rsid w:val="009D0C12"/>
    <w:rsid w:val="009D0E8C"/>
    <w:rsid w:val="009F5476"/>
    <w:rsid w:val="00A20C0E"/>
    <w:rsid w:val="00A30F55"/>
    <w:rsid w:val="00A31351"/>
    <w:rsid w:val="00A66D26"/>
    <w:rsid w:val="00A83C0C"/>
    <w:rsid w:val="00A93653"/>
    <w:rsid w:val="00AA128C"/>
    <w:rsid w:val="00AB6637"/>
    <w:rsid w:val="00AE1995"/>
    <w:rsid w:val="00AF440B"/>
    <w:rsid w:val="00B05B07"/>
    <w:rsid w:val="00B40BDF"/>
    <w:rsid w:val="00B60D94"/>
    <w:rsid w:val="00B7102D"/>
    <w:rsid w:val="00BA3F15"/>
    <w:rsid w:val="00BE454E"/>
    <w:rsid w:val="00BE7998"/>
    <w:rsid w:val="00C07656"/>
    <w:rsid w:val="00C33558"/>
    <w:rsid w:val="00C42CC6"/>
    <w:rsid w:val="00C441A1"/>
    <w:rsid w:val="00C85B71"/>
    <w:rsid w:val="00C901D0"/>
    <w:rsid w:val="00CC6F44"/>
    <w:rsid w:val="00CE21C5"/>
    <w:rsid w:val="00CE6FBA"/>
    <w:rsid w:val="00D30C09"/>
    <w:rsid w:val="00D5207B"/>
    <w:rsid w:val="00D7006B"/>
    <w:rsid w:val="00DD3CD5"/>
    <w:rsid w:val="00DD497C"/>
    <w:rsid w:val="00E463C2"/>
    <w:rsid w:val="00E90189"/>
    <w:rsid w:val="00EA00BF"/>
    <w:rsid w:val="00EB5694"/>
    <w:rsid w:val="00F51351"/>
    <w:rsid w:val="00F756F8"/>
    <w:rsid w:val="00FB54A6"/>
    <w:rsid w:val="00FD5396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C441A1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spacing w:val="-3"/>
      <w:szCs w:val="20"/>
      <w:lang w:eastAsia="en-US"/>
    </w:rPr>
  </w:style>
  <w:style w:type="character" w:customStyle="1" w:styleId="Reason">
    <w:name w:val="Reason"/>
    <w:basedOn w:val="DefaultParagraphFont"/>
    <w:rsid w:val="00C441A1"/>
    <w:rPr>
      <w:b/>
    </w:rPr>
  </w:style>
  <w:style w:type="paragraph" w:customStyle="1" w:styleId="Subjects">
    <w:name w:val="Subjects"/>
    <w:basedOn w:val="Normal"/>
    <w:rsid w:val="004215DC"/>
    <w:pPr>
      <w:numPr>
        <w:ilvl w:val="12"/>
      </w:numPr>
      <w:suppressAutoHyphens/>
      <w:spacing w:before="120" w:after="240"/>
      <w:jc w:val="both"/>
    </w:pPr>
    <w:rPr>
      <w:rFonts w:ascii="Arial" w:hAnsi="Arial"/>
      <w:b/>
      <w:caps/>
      <w:spacing w:val="-3"/>
      <w:sz w:val="22"/>
      <w:szCs w:val="20"/>
      <w:lang w:eastAsia="en-US"/>
    </w:rPr>
  </w:style>
  <w:style w:type="paragraph" w:styleId="NormalWeb">
    <w:name w:val="Normal (Web)"/>
    <w:basedOn w:val="Normal"/>
    <w:rsid w:val="004215DC"/>
    <w:pPr>
      <w:spacing w:before="100" w:beforeAutospacing="1" w:after="100" w:afterAutospacing="1"/>
    </w:pPr>
  </w:style>
  <w:style w:type="paragraph" w:customStyle="1" w:styleId="CharChar1Char">
    <w:name w:val="Char Char1 Char"/>
    <w:basedOn w:val="Normal"/>
    <w:rsid w:val="004215DC"/>
    <w:rPr>
      <w:rFonts w:ascii="Arial" w:hAnsi="Arial"/>
      <w:sz w:val="22"/>
      <w:szCs w:val="20"/>
      <w:lang w:eastAsia="en-US"/>
    </w:rPr>
  </w:style>
  <w:style w:type="character" w:styleId="PageNumber">
    <w:name w:val="page number"/>
    <w:basedOn w:val="DefaultParagraphFont"/>
    <w:rsid w:val="004215DC"/>
  </w:style>
  <w:style w:type="character" w:styleId="Emphasis">
    <w:name w:val="Emphasis"/>
    <w:basedOn w:val="DefaultParagraphFont"/>
    <w:qFormat/>
    <w:rsid w:val="004215DC"/>
    <w:rPr>
      <w:i/>
      <w:iCs/>
    </w:rPr>
  </w:style>
  <w:style w:type="paragraph" w:styleId="FootnoteText">
    <w:name w:val="footnote text"/>
    <w:basedOn w:val="Normal"/>
    <w:semiHidden/>
    <w:rsid w:val="004215D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215DC"/>
    <w:rPr>
      <w:vertAlign w:val="superscript"/>
    </w:rPr>
  </w:style>
  <w:style w:type="table" w:styleId="TableGrid">
    <w:name w:val="Table Grid"/>
    <w:basedOn w:val="TableNormal"/>
    <w:rsid w:val="0042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05B07"/>
    <w:rPr>
      <w:color w:val="0000FF"/>
      <w:u w:val="single"/>
    </w:rPr>
  </w:style>
  <w:style w:type="character" w:styleId="FollowedHyperlink">
    <w:name w:val="FollowedHyperlink"/>
    <w:basedOn w:val="DefaultParagraphFont"/>
    <w:rsid w:val="0039387B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ugs%20Misuse%20Review%20Sect%2061(5)_Final%20Review%20Report-Post%20Cabinet_4%20De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2480</CharactersWithSpaces>
  <SharedDoc>false</SharedDoc>
  <HyperlinkBase>https://www.cabinet.qld.gov.au/documents/2008/Jul/Review s61 5 drugs misuse act/</HyperlinkBase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attachments/Drugs Misuse Review Sect 61(5)_Final Review Report-Post Cabinet_4 Dec.pdf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2008-11-14T05:18:00Z</cp:lastPrinted>
  <dcterms:created xsi:type="dcterms:W3CDTF">2017-10-24T07:45:00Z</dcterms:created>
  <dcterms:modified xsi:type="dcterms:W3CDTF">2018-03-06T00:52:00Z</dcterms:modified>
  <cp:category>Drugs,Primary_Industries,Industrial_Hemp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